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71" w:rsidRPr="00C81E6F" w:rsidRDefault="00151071" w:rsidP="000C2ECD">
      <w:pPr>
        <w:rPr>
          <w:sz w:val="32"/>
        </w:rPr>
      </w:pPr>
      <w:bookmarkStart w:id="0" w:name="_GoBack"/>
      <w:bookmarkEnd w:id="0"/>
    </w:p>
    <w:p w:rsidR="00151071" w:rsidRPr="00C81E6F" w:rsidRDefault="00151071" w:rsidP="00151071">
      <w:pPr>
        <w:tabs>
          <w:tab w:val="left" w:pos="4070"/>
        </w:tabs>
        <w:jc w:val="center"/>
        <w:rPr>
          <w:b/>
          <w:sz w:val="20"/>
          <w:szCs w:val="14"/>
        </w:rPr>
      </w:pPr>
      <w:r w:rsidRPr="00C81E6F">
        <w:rPr>
          <w:b/>
          <w:sz w:val="20"/>
          <w:szCs w:val="14"/>
        </w:rPr>
        <w:t>İLAN</w:t>
      </w:r>
    </w:p>
    <w:p w:rsidR="00151071" w:rsidRPr="00C81E6F" w:rsidRDefault="00151071" w:rsidP="00151071">
      <w:pPr>
        <w:tabs>
          <w:tab w:val="left" w:pos="4070"/>
        </w:tabs>
        <w:jc w:val="center"/>
        <w:rPr>
          <w:b/>
          <w:sz w:val="20"/>
          <w:szCs w:val="14"/>
        </w:rPr>
      </w:pPr>
      <w:r w:rsidRPr="00C81E6F">
        <w:rPr>
          <w:b/>
          <w:sz w:val="20"/>
          <w:szCs w:val="14"/>
        </w:rPr>
        <w:t>BABAESKİ KAYMAKAMLIĞI MİLLİ EMLAK ŞEFLİĞİNDEN</w:t>
      </w:r>
    </w:p>
    <w:p w:rsidR="00151071" w:rsidRPr="00C81E6F" w:rsidRDefault="00BF72EB" w:rsidP="00151071">
      <w:pPr>
        <w:tabs>
          <w:tab w:val="left" w:pos="4070"/>
        </w:tabs>
        <w:jc w:val="center"/>
        <w:rPr>
          <w:b/>
          <w:sz w:val="20"/>
          <w:szCs w:val="14"/>
        </w:rPr>
      </w:pPr>
      <w:r>
        <w:rPr>
          <w:b/>
          <w:sz w:val="20"/>
          <w:szCs w:val="14"/>
        </w:rPr>
        <w:t>KİRALAMAS</w:t>
      </w:r>
      <w:r w:rsidR="00151071" w:rsidRPr="00C81E6F">
        <w:rPr>
          <w:b/>
          <w:sz w:val="20"/>
          <w:szCs w:val="14"/>
        </w:rPr>
        <w:t>I YAPILACAK TAŞINMAZLAR</w:t>
      </w:r>
    </w:p>
    <w:p w:rsidR="00151071" w:rsidRPr="00C81E6F" w:rsidRDefault="00151071" w:rsidP="000C2ECD">
      <w:pPr>
        <w:rPr>
          <w:sz w:val="32"/>
        </w:rPr>
      </w:pPr>
    </w:p>
    <w:tbl>
      <w:tblPr>
        <w:tblStyle w:val="TabloKlavuzu"/>
        <w:tblpPr w:leftFromText="141" w:rightFromText="141" w:vertAnchor="text" w:horzAnchor="margin" w:tblpX="-289" w:tblpY="-46"/>
        <w:tblW w:w="9351" w:type="dxa"/>
        <w:tblLook w:val="04A0" w:firstRow="1" w:lastRow="0" w:firstColumn="1" w:lastColumn="0" w:noHBand="0" w:noVBand="1"/>
      </w:tblPr>
      <w:tblGrid>
        <w:gridCol w:w="565"/>
        <w:gridCol w:w="894"/>
        <w:gridCol w:w="894"/>
        <w:gridCol w:w="1283"/>
        <w:gridCol w:w="548"/>
        <w:gridCol w:w="772"/>
        <w:gridCol w:w="1226"/>
        <w:gridCol w:w="1289"/>
        <w:gridCol w:w="1231"/>
        <w:gridCol w:w="1019"/>
      </w:tblGrid>
      <w:tr w:rsidR="00151071" w:rsidRPr="0076195E" w:rsidTr="0076195E">
        <w:tc>
          <w:tcPr>
            <w:tcW w:w="832" w:type="dxa"/>
            <w:vAlign w:val="center"/>
          </w:tcPr>
          <w:p w:rsidR="00151071" w:rsidRPr="0076195E" w:rsidRDefault="00151071" w:rsidP="0076195E">
            <w:pPr>
              <w:spacing w:after="1" w:line="259" w:lineRule="auto"/>
              <w:ind w:left="5"/>
              <w:jc w:val="center"/>
              <w:rPr>
                <w:sz w:val="18"/>
                <w:szCs w:val="14"/>
              </w:rPr>
            </w:pPr>
            <w:r w:rsidRPr="0076195E">
              <w:rPr>
                <w:b/>
                <w:sz w:val="18"/>
                <w:szCs w:val="14"/>
              </w:rPr>
              <w:t>SIRA</w:t>
            </w:r>
          </w:p>
          <w:p w:rsidR="00151071" w:rsidRPr="0076195E" w:rsidRDefault="00151071" w:rsidP="0076195E">
            <w:pPr>
              <w:spacing w:line="259" w:lineRule="auto"/>
              <w:ind w:left="67"/>
              <w:jc w:val="center"/>
              <w:rPr>
                <w:sz w:val="18"/>
                <w:szCs w:val="14"/>
              </w:rPr>
            </w:pPr>
            <w:r w:rsidRPr="0076195E">
              <w:rPr>
                <w:b/>
                <w:sz w:val="18"/>
                <w:szCs w:val="14"/>
              </w:rPr>
              <w:t>NO</w:t>
            </w:r>
          </w:p>
        </w:tc>
        <w:tc>
          <w:tcPr>
            <w:tcW w:w="849" w:type="dxa"/>
            <w:vAlign w:val="center"/>
          </w:tcPr>
          <w:p w:rsidR="00151071" w:rsidRPr="0076195E" w:rsidRDefault="00151071" w:rsidP="0076195E">
            <w:pPr>
              <w:spacing w:line="259" w:lineRule="auto"/>
              <w:ind w:right="28"/>
              <w:jc w:val="center"/>
              <w:rPr>
                <w:sz w:val="18"/>
                <w:szCs w:val="14"/>
              </w:rPr>
            </w:pPr>
            <w:r w:rsidRPr="0076195E">
              <w:rPr>
                <w:b/>
                <w:sz w:val="18"/>
                <w:szCs w:val="14"/>
              </w:rPr>
              <w:t>İLİ</w:t>
            </w:r>
          </w:p>
        </w:tc>
        <w:tc>
          <w:tcPr>
            <w:tcW w:w="849" w:type="dxa"/>
            <w:vAlign w:val="center"/>
          </w:tcPr>
          <w:p w:rsidR="00151071" w:rsidRPr="0076195E" w:rsidRDefault="00151071" w:rsidP="0076195E">
            <w:pPr>
              <w:spacing w:line="259" w:lineRule="auto"/>
              <w:ind w:left="55"/>
              <w:jc w:val="center"/>
              <w:rPr>
                <w:sz w:val="18"/>
                <w:szCs w:val="14"/>
              </w:rPr>
            </w:pPr>
            <w:r w:rsidRPr="0076195E">
              <w:rPr>
                <w:b/>
                <w:sz w:val="18"/>
                <w:szCs w:val="14"/>
              </w:rPr>
              <w:t>İLÇESİ</w:t>
            </w:r>
          </w:p>
        </w:tc>
        <w:tc>
          <w:tcPr>
            <w:tcW w:w="1212" w:type="dxa"/>
            <w:vAlign w:val="center"/>
          </w:tcPr>
          <w:p w:rsidR="00151071" w:rsidRPr="0076195E" w:rsidRDefault="00151071" w:rsidP="0076195E">
            <w:pPr>
              <w:spacing w:line="259" w:lineRule="auto"/>
              <w:ind w:left="14"/>
              <w:jc w:val="center"/>
              <w:rPr>
                <w:sz w:val="18"/>
                <w:szCs w:val="14"/>
              </w:rPr>
            </w:pPr>
            <w:r w:rsidRPr="0076195E">
              <w:rPr>
                <w:b/>
                <w:sz w:val="18"/>
                <w:szCs w:val="14"/>
              </w:rPr>
              <w:t>MAHALLESİ</w:t>
            </w:r>
          </w:p>
        </w:tc>
        <w:tc>
          <w:tcPr>
            <w:tcW w:w="526" w:type="dxa"/>
            <w:vAlign w:val="center"/>
          </w:tcPr>
          <w:p w:rsidR="00151071" w:rsidRPr="0076195E" w:rsidRDefault="00151071" w:rsidP="0076195E">
            <w:pPr>
              <w:spacing w:line="259" w:lineRule="auto"/>
              <w:jc w:val="center"/>
              <w:rPr>
                <w:sz w:val="18"/>
                <w:szCs w:val="14"/>
              </w:rPr>
            </w:pPr>
            <w:r w:rsidRPr="0076195E">
              <w:rPr>
                <w:b/>
                <w:sz w:val="18"/>
                <w:szCs w:val="14"/>
              </w:rPr>
              <w:t>ADA</w:t>
            </w:r>
          </w:p>
        </w:tc>
        <w:tc>
          <w:tcPr>
            <w:tcW w:w="735" w:type="dxa"/>
            <w:vAlign w:val="center"/>
          </w:tcPr>
          <w:p w:rsidR="00151071" w:rsidRPr="0076195E" w:rsidRDefault="00151071" w:rsidP="0076195E">
            <w:pPr>
              <w:spacing w:line="259" w:lineRule="auto"/>
              <w:jc w:val="center"/>
              <w:rPr>
                <w:sz w:val="18"/>
                <w:szCs w:val="14"/>
              </w:rPr>
            </w:pPr>
            <w:r w:rsidRPr="0076195E">
              <w:rPr>
                <w:b/>
                <w:sz w:val="18"/>
                <w:szCs w:val="14"/>
              </w:rPr>
              <w:t>PARSEL</w:t>
            </w:r>
          </w:p>
        </w:tc>
        <w:tc>
          <w:tcPr>
            <w:tcW w:w="1159" w:type="dxa"/>
            <w:vAlign w:val="center"/>
          </w:tcPr>
          <w:p w:rsidR="00151071" w:rsidRPr="0076195E" w:rsidRDefault="00151071" w:rsidP="0076195E">
            <w:pPr>
              <w:spacing w:after="1" w:line="259" w:lineRule="auto"/>
              <w:ind w:right="30"/>
              <w:jc w:val="center"/>
              <w:rPr>
                <w:sz w:val="18"/>
                <w:szCs w:val="14"/>
              </w:rPr>
            </w:pPr>
            <w:r w:rsidRPr="0076195E">
              <w:rPr>
                <w:b/>
                <w:sz w:val="18"/>
                <w:szCs w:val="14"/>
              </w:rPr>
              <w:t>TAŞINMAZ</w:t>
            </w:r>
          </w:p>
          <w:p w:rsidR="00151071" w:rsidRPr="0076195E" w:rsidRDefault="00151071" w:rsidP="0076195E">
            <w:pPr>
              <w:spacing w:line="259" w:lineRule="auto"/>
              <w:ind w:right="27"/>
              <w:jc w:val="center"/>
              <w:rPr>
                <w:sz w:val="18"/>
                <w:szCs w:val="14"/>
              </w:rPr>
            </w:pPr>
            <w:r w:rsidRPr="0076195E">
              <w:rPr>
                <w:b/>
                <w:sz w:val="18"/>
                <w:szCs w:val="14"/>
              </w:rPr>
              <w:t>YÜZÖLÇÜMÜ (M²)</w:t>
            </w:r>
          </w:p>
        </w:tc>
        <w:tc>
          <w:tcPr>
            <w:tcW w:w="1157" w:type="dxa"/>
          </w:tcPr>
          <w:p w:rsidR="00151071" w:rsidRPr="0076195E" w:rsidRDefault="0076195E" w:rsidP="0076195E">
            <w:pPr>
              <w:spacing w:line="261" w:lineRule="auto"/>
              <w:jc w:val="center"/>
              <w:rPr>
                <w:sz w:val="18"/>
                <w:szCs w:val="14"/>
              </w:rPr>
            </w:pPr>
            <w:r>
              <w:rPr>
                <w:b/>
                <w:sz w:val="18"/>
                <w:szCs w:val="14"/>
              </w:rPr>
              <w:t>KİRALANACAK</w:t>
            </w:r>
          </w:p>
          <w:p w:rsidR="00151071" w:rsidRPr="0076195E" w:rsidRDefault="00151071" w:rsidP="0076195E">
            <w:pPr>
              <w:spacing w:after="1" w:line="259" w:lineRule="auto"/>
              <w:ind w:right="29"/>
              <w:jc w:val="center"/>
              <w:rPr>
                <w:sz w:val="18"/>
                <w:szCs w:val="14"/>
              </w:rPr>
            </w:pPr>
            <w:r w:rsidRPr="0076195E">
              <w:rPr>
                <w:b/>
                <w:sz w:val="18"/>
                <w:szCs w:val="14"/>
              </w:rPr>
              <w:t>TAŞINMAZ</w:t>
            </w:r>
          </w:p>
          <w:p w:rsidR="00151071" w:rsidRPr="0076195E" w:rsidRDefault="00151071" w:rsidP="0076195E">
            <w:pPr>
              <w:spacing w:line="259" w:lineRule="auto"/>
              <w:ind w:right="25"/>
              <w:jc w:val="center"/>
              <w:rPr>
                <w:sz w:val="18"/>
                <w:szCs w:val="14"/>
              </w:rPr>
            </w:pPr>
            <w:r w:rsidRPr="0076195E">
              <w:rPr>
                <w:b/>
                <w:sz w:val="18"/>
                <w:szCs w:val="14"/>
              </w:rPr>
              <w:t>YÜZÖLÇÜMÜ (M²)</w:t>
            </w:r>
          </w:p>
        </w:tc>
        <w:tc>
          <w:tcPr>
            <w:tcW w:w="1164" w:type="dxa"/>
            <w:vAlign w:val="center"/>
          </w:tcPr>
          <w:p w:rsidR="00151071" w:rsidRPr="0076195E" w:rsidRDefault="00151071" w:rsidP="0076195E">
            <w:pPr>
              <w:spacing w:after="1" w:line="259" w:lineRule="auto"/>
              <w:ind w:left="46"/>
              <w:jc w:val="center"/>
              <w:rPr>
                <w:sz w:val="18"/>
                <w:szCs w:val="14"/>
              </w:rPr>
            </w:pPr>
            <w:r w:rsidRPr="0076195E">
              <w:rPr>
                <w:b/>
                <w:sz w:val="18"/>
                <w:szCs w:val="14"/>
              </w:rPr>
              <w:t>TAŞINMAZIN</w:t>
            </w:r>
          </w:p>
          <w:p w:rsidR="00151071" w:rsidRPr="0076195E" w:rsidRDefault="00151071" w:rsidP="0076195E">
            <w:pPr>
              <w:spacing w:after="1" w:line="259" w:lineRule="auto"/>
              <w:ind w:left="7"/>
              <w:jc w:val="center"/>
              <w:rPr>
                <w:sz w:val="18"/>
                <w:szCs w:val="14"/>
              </w:rPr>
            </w:pPr>
            <w:r w:rsidRPr="0076195E">
              <w:rPr>
                <w:b/>
                <w:sz w:val="18"/>
                <w:szCs w:val="14"/>
              </w:rPr>
              <w:t xml:space="preserve">İLK YIL </w:t>
            </w:r>
            <w:proofErr w:type="gramStart"/>
            <w:r w:rsidRPr="0076195E">
              <w:rPr>
                <w:b/>
                <w:sz w:val="18"/>
                <w:szCs w:val="14"/>
              </w:rPr>
              <w:t xml:space="preserve">TAHMİNİ </w:t>
            </w:r>
            <w:r w:rsidR="001F4268" w:rsidRPr="0076195E">
              <w:rPr>
                <w:b/>
                <w:sz w:val="18"/>
                <w:szCs w:val="14"/>
              </w:rPr>
              <w:t xml:space="preserve"> M</w:t>
            </w:r>
            <w:proofErr w:type="gramEnd"/>
            <w:r w:rsidR="001F4268" w:rsidRPr="0076195E">
              <w:rPr>
                <w:b/>
                <w:sz w:val="18"/>
                <w:szCs w:val="14"/>
              </w:rPr>
              <w:t>²</w:t>
            </w:r>
            <w:r w:rsidR="001F4268">
              <w:rPr>
                <w:b/>
                <w:sz w:val="18"/>
                <w:szCs w:val="14"/>
              </w:rPr>
              <w:t xml:space="preserve"> BİRİM</w:t>
            </w:r>
          </w:p>
          <w:p w:rsidR="00151071" w:rsidRPr="0076195E" w:rsidRDefault="00151071" w:rsidP="0076195E">
            <w:pPr>
              <w:spacing w:line="259" w:lineRule="auto"/>
              <w:ind w:right="30"/>
              <w:jc w:val="center"/>
              <w:rPr>
                <w:sz w:val="18"/>
                <w:szCs w:val="14"/>
              </w:rPr>
            </w:pPr>
            <w:r w:rsidRPr="0076195E">
              <w:rPr>
                <w:b/>
                <w:sz w:val="18"/>
                <w:szCs w:val="14"/>
              </w:rPr>
              <w:t>BEDELİ (TL)</w:t>
            </w:r>
          </w:p>
        </w:tc>
        <w:tc>
          <w:tcPr>
            <w:tcW w:w="868" w:type="dxa"/>
          </w:tcPr>
          <w:p w:rsidR="00151071" w:rsidRPr="0076195E" w:rsidRDefault="00151071" w:rsidP="0076195E">
            <w:pPr>
              <w:jc w:val="center"/>
              <w:rPr>
                <w:sz w:val="18"/>
              </w:rPr>
            </w:pPr>
          </w:p>
          <w:p w:rsidR="00151071" w:rsidRPr="0076195E" w:rsidRDefault="0076195E" w:rsidP="0076195E">
            <w:pPr>
              <w:jc w:val="center"/>
              <w:rPr>
                <w:b/>
                <w:sz w:val="18"/>
                <w:szCs w:val="14"/>
              </w:rPr>
            </w:pPr>
            <w:r w:rsidRPr="0076195E">
              <w:rPr>
                <w:b/>
                <w:sz w:val="18"/>
                <w:szCs w:val="14"/>
              </w:rPr>
              <w:t>TAŞINMAZ GRUP SAYISI</w:t>
            </w:r>
          </w:p>
        </w:tc>
      </w:tr>
      <w:tr w:rsidR="00151071" w:rsidRPr="0076195E" w:rsidTr="0076195E">
        <w:tc>
          <w:tcPr>
            <w:tcW w:w="832" w:type="dxa"/>
          </w:tcPr>
          <w:p w:rsidR="00151071" w:rsidRPr="0076195E" w:rsidRDefault="00151071" w:rsidP="0076195E">
            <w:pPr>
              <w:spacing w:after="160" w:line="259" w:lineRule="auto"/>
              <w:jc w:val="center"/>
              <w:rPr>
                <w:sz w:val="18"/>
                <w:szCs w:val="14"/>
              </w:rPr>
            </w:pPr>
            <w:r w:rsidRPr="0076195E">
              <w:rPr>
                <w:sz w:val="18"/>
                <w:szCs w:val="14"/>
              </w:rPr>
              <w:t>1</w:t>
            </w:r>
          </w:p>
        </w:tc>
        <w:tc>
          <w:tcPr>
            <w:tcW w:w="849" w:type="dxa"/>
          </w:tcPr>
          <w:p w:rsidR="00151071" w:rsidRPr="0076195E" w:rsidRDefault="00151071" w:rsidP="0076195E">
            <w:pPr>
              <w:spacing w:line="259" w:lineRule="auto"/>
              <w:ind w:left="36"/>
              <w:jc w:val="center"/>
              <w:rPr>
                <w:sz w:val="18"/>
                <w:szCs w:val="14"/>
              </w:rPr>
            </w:pPr>
            <w:r w:rsidRPr="0076195E">
              <w:rPr>
                <w:sz w:val="18"/>
                <w:szCs w:val="14"/>
              </w:rPr>
              <w:t>Kırklareli</w:t>
            </w:r>
          </w:p>
        </w:tc>
        <w:tc>
          <w:tcPr>
            <w:tcW w:w="849" w:type="dxa"/>
          </w:tcPr>
          <w:p w:rsidR="00151071" w:rsidRPr="0076195E" w:rsidRDefault="00151071" w:rsidP="0076195E">
            <w:pPr>
              <w:spacing w:line="259" w:lineRule="auto"/>
              <w:ind w:left="29"/>
              <w:jc w:val="center"/>
              <w:rPr>
                <w:sz w:val="18"/>
                <w:szCs w:val="14"/>
              </w:rPr>
            </w:pPr>
            <w:r w:rsidRPr="0076195E">
              <w:rPr>
                <w:sz w:val="18"/>
                <w:szCs w:val="14"/>
              </w:rPr>
              <w:t>Babaeski</w:t>
            </w:r>
          </w:p>
        </w:tc>
        <w:tc>
          <w:tcPr>
            <w:tcW w:w="1212" w:type="dxa"/>
          </w:tcPr>
          <w:p w:rsidR="00151071" w:rsidRPr="0076195E" w:rsidRDefault="00151071" w:rsidP="0076195E">
            <w:pPr>
              <w:spacing w:line="259" w:lineRule="auto"/>
              <w:ind w:right="7"/>
              <w:jc w:val="center"/>
              <w:rPr>
                <w:sz w:val="18"/>
                <w:szCs w:val="14"/>
              </w:rPr>
            </w:pPr>
            <w:r w:rsidRPr="0076195E">
              <w:rPr>
                <w:sz w:val="18"/>
                <w:szCs w:val="14"/>
              </w:rPr>
              <w:t>Büyükmandıra Beldesi</w:t>
            </w:r>
          </w:p>
        </w:tc>
        <w:tc>
          <w:tcPr>
            <w:tcW w:w="526" w:type="dxa"/>
          </w:tcPr>
          <w:p w:rsidR="00151071" w:rsidRPr="0076195E" w:rsidRDefault="0076195E" w:rsidP="0076195E">
            <w:pPr>
              <w:spacing w:after="160" w:line="259" w:lineRule="auto"/>
              <w:jc w:val="center"/>
              <w:rPr>
                <w:sz w:val="18"/>
                <w:szCs w:val="14"/>
              </w:rPr>
            </w:pPr>
            <w:r>
              <w:rPr>
                <w:sz w:val="18"/>
                <w:szCs w:val="14"/>
              </w:rPr>
              <w:t>-</w:t>
            </w:r>
          </w:p>
        </w:tc>
        <w:tc>
          <w:tcPr>
            <w:tcW w:w="735" w:type="dxa"/>
          </w:tcPr>
          <w:p w:rsidR="00151071" w:rsidRPr="0076195E" w:rsidRDefault="00151071" w:rsidP="0076195E">
            <w:pPr>
              <w:spacing w:line="259" w:lineRule="auto"/>
              <w:ind w:right="14"/>
              <w:jc w:val="center"/>
              <w:rPr>
                <w:sz w:val="18"/>
                <w:szCs w:val="14"/>
              </w:rPr>
            </w:pPr>
            <w:r w:rsidRPr="0076195E">
              <w:rPr>
                <w:sz w:val="18"/>
                <w:szCs w:val="14"/>
              </w:rPr>
              <w:t>3429</w:t>
            </w:r>
          </w:p>
        </w:tc>
        <w:tc>
          <w:tcPr>
            <w:tcW w:w="1159" w:type="dxa"/>
          </w:tcPr>
          <w:p w:rsidR="00151071" w:rsidRPr="0076195E" w:rsidRDefault="00151071" w:rsidP="0076195E">
            <w:pPr>
              <w:spacing w:line="259" w:lineRule="auto"/>
              <w:ind w:right="27"/>
              <w:jc w:val="center"/>
              <w:rPr>
                <w:sz w:val="18"/>
                <w:szCs w:val="14"/>
              </w:rPr>
            </w:pPr>
            <w:r w:rsidRPr="0076195E">
              <w:rPr>
                <w:sz w:val="18"/>
                <w:szCs w:val="14"/>
              </w:rPr>
              <w:t>1.239.050,00</w:t>
            </w:r>
          </w:p>
        </w:tc>
        <w:tc>
          <w:tcPr>
            <w:tcW w:w="1157" w:type="dxa"/>
          </w:tcPr>
          <w:p w:rsidR="00151071" w:rsidRPr="0076195E" w:rsidRDefault="007B7875" w:rsidP="00587C7E">
            <w:pPr>
              <w:spacing w:after="160" w:line="259" w:lineRule="auto"/>
              <w:jc w:val="center"/>
              <w:rPr>
                <w:color w:val="FF0000"/>
                <w:sz w:val="18"/>
                <w:szCs w:val="14"/>
              </w:rPr>
            </w:pPr>
            <w:r w:rsidRPr="000D6A00">
              <w:rPr>
                <w:sz w:val="18"/>
                <w:szCs w:val="14"/>
              </w:rPr>
              <w:t xml:space="preserve">898.600,00 </w:t>
            </w:r>
          </w:p>
        </w:tc>
        <w:tc>
          <w:tcPr>
            <w:tcW w:w="1164" w:type="dxa"/>
          </w:tcPr>
          <w:p w:rsidR="00151071" w:rsidRPr="0076195E" w:rsidRDefault="001F4268" w:rsidP="0076195E">
            <w:pPr>
              <w:spacing w:after="160" w:line="259" w:lineRule="auto"/>
              <w:jc w:val="center"/>
              <w:rPr>
                <w:color w:val="FF0000"/>
                <w:sz w:val="18"/>
                <w:szCs w:val="14"/>
              </w:rPr>
            </w:pPr>
            <w:r w:rsidRPr="000D6A00">
              <w:rPr>
                <w:sz w:val="18"/>
                <w:szCs w:val="14"/>
              </w:rPr>
              <w:t>0,39</w:t>
            </w:r>
          </w:p>
        </w:tc>
        <w:tc>
          <w:tcPr>
            <w:tcW w:w="868" w:type="dxa"/>
          </w:tcPr>
          <w:p w:rsidR="00151071" w:rsidRPr="0076195E" w:rsidRDefault="00151071" w:rsidP="0076195E">
            <w:pPr>
              <w:jc w:val="center"/>
              <w:rPr>
                <w:sz w:val="18"/>
                <w:szCs w:val="14"/>
              </w:rPr>
            </w:pPr>
            <w:r w:rsidRPr="0076195E">
              <w:rPr>
                <w:sz w:val="18"/>
                <w:szCs w:val="14"/>
              </w:rPr>
              <w:t>20 parça</w:t>
            </w:r>
          </w:p>
        </w:tc>
      </w:tr>
    </w:tbl>
    <w:p w:rsidR="00151071" w:rsidRPr="00C81E6F" w:rsidRDefault="00151071" w:rsidP="000C2ECD">
      <w:pPr>
        <w:rPr>
          <w:sz w:val="32"/>
        </w:rPr>
      </w:pPr>
    </w:p>
    <w:p w:rsidR="000C2ECD" w:rsidRPr="00C81E6F" w:rsidRDefault="000C2ECD" w:rsidP="00061A5E">
      <w:pPr>
        <w:spacing w:after="128"/>
        <w:ind w:left="-5" w:firstLine="289"/>
        <w:jc w:val="both"/>
        <w:rPr>
          <w:sz w:val="20"/>
          <w:szCs w:val="14"/>
        </w:rPr>
      </w:pPr>
      <w:r w:rsidRPr="00C81E6F">
        <w:rPr>
          <w:sz w:val="20"/>
          <w:szCs w:val="14"/>
        </w:rPr>
        <w:t>Yukarıda nitelikleri belirtilen mülkiyeti Hazineye ait tarım a</w:t>
      </w:r>
      <w:r w:rsidR="00CD7BD8" w:rsidRPr="00C81E6F">
        <w:rPr>
          <w:sz w:val="20"/>
          <w:szCs w:val="14"/>
        </w:rPr>
        <w:t>razisi niteliğindeki taşınmaz</w:t>
      </w:r>
      <w:r w:rsidR="00BE415D" w:rsidRPr="00C81E6F">
        <w:rPr>
          <w:sz w:val="20"/>
          <w:szCs w:val="14"/>
        </w:rPr>
        <w:t xml:space="preserve"> </w:t>
      </w:r>
      <w:r w:rsidR="00CD7BD8" w:rsidRPr="00C81E6F">
        <w:rPr>
          <w:sz w:val="20"/>
          <w:szCs w:val="14"/>
        </w:rPr>
        <w:t>20 parça halinde</w:t>
      </w:r>
      <w:r w:rsidRPr="00C81E6F">
        <w:rPr>
          <w:sz w:val="20"/>
          <w:szCs w:val="14"/>
        </w:rPr>
        <w:t xml:space="preserve">, 400 sıra sayılı Milli Emlak Genel Tebliği kapsamında 10 (On) yıl süre ile kiraya verilecektir. Her bir </w:t>
      </w:r>
      <w:r w:rsidR="0076195E" w:rsidRPr="000D6A00">
        <w:rPr>
          <w:sz w:val="20"/>
          <w:szCs w:val="14"/>
        </w:rPr>
        <w:t>taşınmaz grubu</w:t>
      </w:r>
      <w:r w:rsidRPr="000D6A00">
        <w:rPr>
          <w:sz w:val="20"/>
          <w:szCs w:val="14"/>
        </w:rPr>
        <w:t xml:space="preserve"> kira şartnamesi ekindeki koordinatlı krokisinde belirtildiği şekliyle</w:t>
      </w:r>
      <w:r w:rsidR="00372930" w:rsidRPr="000D6A00">
        <w:rPr>
          <w:sz w:val="20"/>
          <w:szCs w:val="14"/>
        </w:rPr>
        <w:t xml:space="preserve"> taşınmaz malın rayiç bedelinin % 1,50 ‘u üzerinden</w:t>
      </w:r>
      <w:r w:rsidRPr="000D6A00">
        <w:rPr>
          <w:sz w:val="20"/>
          <w:szCs w:val="14"/>
        </w:rPr>
        <w:t xml:space="preserve"> </w:t>
      </w:r>
      <w:r w:rsidRPr="00C81E6F">
        <w:rPr>
          <w:sz w:val="20"/>
          <w:szCs w:val="14"/>
        </w:rPr>
        <w:t xml:space="preserve">topraksız veya yeterli toprağı olmayan çiftçilere kiraya verilecektir.                                                                                                                                                                               </w:t>
      </w:r>
    </w:p>
    <w:p w:rsidR="000C2ECD" w:rsidRPr="00243A7A" w:rsidRDefault="000C2ECD" w:rsidP="00243A7A">
      <w:pPr>
        <w:spacing w:after="1"/>
        <w:ind w:left="-5"/>
        <w:jc w:val="both"/>
        <w:rPr>
          <w:sz w:val="20"/>
          <w:szCs w:val="14"/>
        </w:rPr>
      </w:pPr>
      <w:r w:rsidRPr="00243A7A">
        <w:rPr>
          <w:sz w:val="20"/>
          <w:szCs w:val="14"/>
        </w:rPr>
        <w:t xml:space="preserve">1- </w:t>
      </w:r>
      <w:r w:rsidR="00C81E6F" w:rsidRPr="00243A7A">
        <w:rPr>
          <w:sz w:val="20"/>
          <w:szCs w:val="14"/>
        </w:rPr>
        <w:t>KİRACILARDA ARANACAK ŞARTLAR</w:t>
      </w:r>
      <w:r w:rsidRPr="00243A7A">
        <w:rPr>
          <w:sz w:val="20"/>
          <w:szCs w:val="14"/>
        </w:rPr>
        <w:t>:</w:t>
      </w:r>
    </w:p>
    <w:p w:rsidR="000C2ECD" w:rsidRPr="00C81E6F" w:rsidRDefault="000C2ECD" w:rsidP="00243A7A">
      <w:pPr>
        <w:spacing w:after="0"/>
        <w:ind w:left="-5"/>
        <w:jc w:val="both"/>
        <w:rPr>
          <w:sz w:val="20"/>
          <w:szCs w:val="14"/>
        </w:rPr>
      </w:pPr>
      <w:r w:rsidRPr="00C81E6F">
        <w:rPr>
          <w:sz w:val="20"/>
          <w:szCs w:val="14"/>
        </w:rPr>
        <w:t>Kiralanması talep edilen taşınmazın bulunduğu,</w:t>
      </w:r>
    </w:p>
    <w:p w:rsidR="000C2ECD" w:rsidRPr="00C81E6F" w:rsidRDefault="00CD7BD8" w:rsidP="00243A7A">
      <w:pPr>
        <w:numPr>
          <w:ilvl w:val="0"/>
          <w:numId w:val="4"/>
        </w:numPr>
        <w:spacing w:after="0" w:line="270" w:lineRule="auto"/>
        <w:ind w:left="-5" w:firstLine="0"/>
        <w:jc w:val="both"/>
        <w:rPr>
          <w:sz w:val="20"/>
          <w:szCs w:val="14"/>
        </w:rPr>
      </w:pPr>
      <w:r w:rsidRPr="00C81E6F">
        <w:rPr>
          <w:sz w:val="20"/>
          <w:szCs w:val="14"/>
        </w:rPr>
        <w:t>Belde/m</w:t>
      </w:r>
      <w:r w:rsidR="000C2ECD" w:rsidRPr="00C81E6F">
        <w:rPr>
          <w:sz w:val="20"/>
          <w:szCs w:val="14"/>
        </w:rPr>
        <w:t>ahalle nüfusuna kayıtlı olan ve o mahallede ikamet eden,</w:t>
      </w:r>
    </w:p>
    <w:p w:rsidR="00DF3A6F" w:rsidRPr="00C81E6F" w:rsidRDefault="00CD7BD8" w:rsidP="00243A7A">
      <w:pPr>
        <w:numPr>
          <w:ilvl w:val="0"/>
          <w:numId w:val="4"/>
        </w:numPr>
        <w:spacing w:after="11" w:line="270" w:lineRule="auto"/>
        <w:ind w:left="-5" w:firstLine="0"/>
        <w:jc w:val="both"/>
        <w:rPr>
          <w:sz w:val="20"/>
          <w:szCs w:val="14"/>
        </w:rPr>
      </w:pPr>
      <w:r w:rsidRPr="00C81E6F">
        <w:rPr>
          <w:sz w:val="20"/>
          <w:szCs w:val="14"/>
        </w:rPr>
        <w:t>Belde/m</w:t>
      </w:r>
      <w:r w:rsidR="000C2ECD" w:rsidRPr="00C81E6F">
        <w:rPr>
          <w:sz w:val="20"/>
          <w:szCs w:val="14"/>
        </w:rPr>
        <w:t xml:space="preserve">ahalle nüfusuna kayıtlı olmamakla birlikte en az üç yıl süreyle o mahallede ikamet eden,                                                                                                                         </w:t>
      </w:r>
    </w:p>
    <w:p w:rsidR="000C2ECD" w:rsidRPr="00C81E6F" w:rsidRDefault="00CD7BD8" w:rsidP="00243A7A">
      <w:pPr>
        <w:pStyle w:val="ListeParagraf"/>
        <w:numPr>
          <w:ilvl w:val="0"/>
          <w:numId w:val="4"/>
        </w:numPr>
        <w:spacing w:after="11" w:line="270" w:lineRule="auto"/>
        <w:ind w:left="-5" w:firstLine="0"/>
        <w:jc w:val="both"/>
        <w:rPr>
          <w:sz w:val="20"/>
          <w:szCs w:val="14"/>
        </w:rPr>
      </w:pPr>
      <w:r w:rsidRPr="00C81E6F">
        <w:rPr>
          <w:sz w:val="20"/>
          <w:szCs w:val="14"/>
        </w:rPr>
        <w:t>Belde/m</w:t>
      </w:r>
      <w:r w:rsidR="000C2ECD" w:rsidRPr="00C81E6F">
        <w:rPr>
          <w:sz w:val="20"/>
          <w:szCs w:val="14"/>
        </w:rPr>
        <w:t>ahalle nüfusuna kayıtlı olan ancak o mahallede ikamet etmeyen,</w:t>
      </w:r>
    </w:p>
    <w:p w:rsidR="000C2ECD" w:rsidRPr="00C81E6F" w:rsidRDefault="00316C9C" w:rsidP="00243A7A">
      <w:pPr>
        <w:spacing w:after="88"/>
        <w:ind w:left="-5"/>
        <w:jc w:val="both"/>
        <w:rPr>
          <w:sz w:val="20"/>
          <w:szCs w:val="14"/>
        </w:rPr>
      </w:pPr>
      <w:r w:rsidRPr="00C81E6F">
        <w:rPr>
          <w:sz w:val="20"/>
          <w:szCs w:val="14"/>
        </w:rPr>
        <w:t>Kırklareli</w:t>
      </w:r>
      <w:r w:rsidR="000C2ECD" w:rsidRPr="00C81E6F">
        <w:rPr>
          <w:sz w:val="20"/>
          <w:szCs w:val="14"/>
        </w:rPr>
        <w:t xml:space="preserve"> İl sınırları içerisinde kendisinin ve eşinin toprağı olmayan topraksız çiftçilere veya </w:t>
      </w:r>
      <w:r w:rsidRPr="00C81E6F">
        <w:rPr>
          <w:sz w:val="20"/>
          <w:szCs w:val="14"/>
        </w:rPr>
        <w:t>Kırklareli</w:t>
      </w:r>
      <w:r w:rsidR="000C2ECD" w:rsidRPr="00C81E6F">
        <w:rPr>
          <w:sz w:val="20"/>
          <w:szCs w:val="14"/>
        </w:rPr>
        <w:t xml:space="preserve"> İl sınırları içerisinde kendisinin ve eşinin altmış dönümden daha az toprağı olan çiftçilere kiraya verilecektir.</w:t>
      </w:r>
    </w:p>
    <w:p w:rsidR="000C2ECD" w:rsidRPr="00C81E6F" w:rsidRDefault="000C2ECD" w:rsidP="00243A7A">
      <w:pPr>
        <w:ind w:left="-5"/>
        <w:jc w:val="both"/>
        <w:rPr>
          <w:sz w:val="20"/>
          <w:szCs w:val="14"/>
        </w:rPr>
      </w:pPr>
      <w:r w:rsidRPr="00C81E6F">
        <w:rPr>
          <w:sz w:val="20"/>
          <w:szCs w:val="14"/>
        </w:rPr>
        <w:t>Topraksız veya yeterli toprağı olmayan çiftçiler 400 sıra sayılı Milli Emlak Genel Tebliği kapsamında sadece bir kez hak sahibi olabilirler.</w:t>
      </w:r>
    </w:p>
    <w:p w:rsidR="000C2ECD" w:rsidRPr="00C81E6F" w:rsidRDefault="000C2ECD" w:rsidP="00243A7A">
      <w:pPr>
        <w:spacing w:after="275"/>
        <w:ind w:left="-5"/>
        <w:jc w:val="both"/>
        <w:rPr>
          <w:sz w:val="20"/>
          <w:szCs w:val="14"/>
        </w:rPr>
      </w:pPr>
      <w:r w:rsidRPr="00C81E6F">
        <w:rPr>
          <w:sz w:val="20"/>
          <w:szCs w:val="14"/>
        </w:rPr>
        <w:t>Taşınmazlar üzerinde tarımsal üretim yapmak isteyen ve yukarıda</w:t>
      </w:r>
      <w:r w:rsidR="00C81E6F" w:rsidRPr="000D6A00">
        <w:rPr>
          <w:sz w:val="20"/>
          <w:szCs w:val="14"/>
        </w:rPr>
        <w:t>k</w:t>
      </w:r>
      <w:r w:rsidR="00FC1734" w:rsidRPr="00FC1734">
        <w:rPr>
          <w:sz w:val="20"/>
          <w:szCs w:val="14"/>
        </w:rPr>
        <w:t>i</w:t>
      </w:r>
      <w:r w:rsidRPr="00FC1734">
        <w:rPr>
          <w:sz w:val="20"/>
          <w:szCs w:val="14"/>
        </w:rPr>
        <w:t xml:space="preserve"> </w:t>
      </w:r>
      <w:r w:rsidRPr="00C81E6F">
        <w:rPr>
          <w:sz w:val="20"/>
          <w:szCs w:val="14"/>
        </w:rPr>
        <w:t xml:space="preserve">şartları haiz gerçek kişiler, 400 sıra sayılı Milli Emlak Genel Tebliğinin </w:t>
      </w:r>
      <w:r w:rsidR="00C81E6F" w:rsidRPr="000D6A00">
        <w:rPr>
          <w:sz w:val="20"/>
          <w:szCs w:val="14"/>
        </w:rPr>
        <w:t>Ek-1’de</w:t>
      </w:r>
      <w:r w:rsidRPr="00C81E6F">
        <w:rPr>
          <w:color w:val="FF0000"/>
          <w:sz w:val="20"/>
          <w:szCs w:val="14"/>
        </w:rPr>
        <w:t xml:space="preserve"> </w:t>
      </w:r>
      <w:r w:rsidRPr="00C81E6F">
        <w:rPr>
          <w:sz w:val="20"/>
          <w:szCs w:val="14"/>
        </w:rPr>
        <w:t xml:space="preserve">yer alan </w:t>
      </w:r>
      <w:r w:rsidR="00C81E6F">
        <w:rPr>
          <w:sz w:val="20"/>
          <w:szCs w:val="14"/>
        </w:rPr>
        <w:t>‘</w:t>
      </w:r>
      <w:r w:rsidRPr="00C81E6F">
        <w:rPr>
          <w:sz w:val="20"/>
          <w:szCs w:val="14"/>
        </w:rPr>
        <w:t>Tarım Arazisi Kiralama Talep Formu</w:t>
      </w:r>
      <w:r w:rsidR="00C81E6F">
        <w:rPr>
          <w:sz w:val="20"/>
          <w:szCs w:val="14"/>
        </w:rPr>
        <w:t>’</w:t>
      </w:r>
      <w:r w:rsidRPr="00C81E6F">
        <w:rPr>
          <w:sz w:val="20"/>
          <w:szCs w:val="14"/>
        </w:rPr>
        <w:t xml:space="preserve">nu eksiksiz olarak doldurarak ilan süresi olan </w:t>
      </w:r>
      <w:r w:rsidR="00960F5F" w:rsidRPr="00C81E6F">
        <w:rPr>
          <w:b/>
          <w:sz w:val="20"/>
          <w:szCs w:val="14"/>
        </w:rPr>
        <w:t>26.07.</w:t>
      </w:r>
      <w:r w:rsidR="0006016A" w:rsidRPr="00C81E6F">
        <w:rPr>
          <w:b/>
          <w:sz w:val="20"/>
          <w:szCs w:val="14"/>
        </w:rPr>
        <w:t>2021</w:t>
      </w:r>
      <w:r w:rsidRPr="00C81E6F">
        <w:rPr>
          <w:b/>
          <w:sz w:val="20"/>
          <w:szCs w:val="14"/>
        </w:rPr>
        <w:t xml:space="preserve"> tarihi mesai </w:t>
      </w:r>
      <w:r w:rsidR="0006016A" w:rsidRPr="00C81E6F">
        <w:rPr>
          <w:b/>
          <w:sz w:val="20"/>
          <w:szCs w:val="14"/>
        </w:rPr>
        <w:t>başlangıcından</w:t>
      </w:r>
      <w:r w:rsidRPr="00C81E6F">
        <w:rPr>
          <w:b/>
          <w:sz w:val="20"/>
          <w:szCs w:val="14"/>
        </w:rPr>
        <w:t xml:space="preserve"> itibaren </w:t>
      </w:r>
      <w:r w:rsidR="00960F5F" w:rsidRPr="00C81E6F">
        <w:rPr>
          <w:b/>
          <w:sz w:val="20"/>
          <w:szCs w:val="14"/>
        </w:rPr>
        <w:t>16.08.</w:t>
      </w:r>
      <w:r w:rsidR="0006016A" w:rsidRPr="00C81E6F">
        <w:rPr>
          <w:b/>
          <w:sz w:val="20"/>
          <w:szCs w:val="14"/>
        </w:rPr>
        <w:t>2021</w:t>
      </w:r>
      <w:r w:rsidRPr="00C81E6F">
        <w:rPr>
          <w:b/>
          <w:sz w:val="20"/>
          <w:szCs w:val="14"/>
        </w:rPr>
        <w:t xml:space="preserve"> tarihi mesai saati bitimine kadar</w:t>
      </w:r>
      <w:r w:rsidRPr="00C81E6F">
        <w:rPr>
          <w:sz w:val="20"/>
          <w:szCs w:val="14"/>
        </w:rPr>
        <w:t xml:space="preserve"> taşınmazın bulunduğu </w:t>
      </w:r>
      <w:r w:rsidR="00976C27" w:rsidRPr="00C81E6F">
        <w:rPr>
          <w:sz w:val="20"/>
          <w:szCs w:val="14"/>
        </w:rPr>
        <w:t xml:space="preserve">Babaeski Kaymakamlığı </w:t>
      </w:r>
      <w:r w:rsidRPr="00C81E6F">
        <w:rPr>
          <w:sz w:val="20"/>
          <w:szCs w:val="14"/>
        </w:rPr>
        <w:t>Milli Emlak Şefliğine başvuruda bulunmaları gerekmektedir.</w:t>
      </w:r>
    </w:p>
    <w:p w:rsidR="000C2ECD" w:rsidRPr="00C81E6F" w:rsidRDefault="000C2ECD" w:rsidP="00243A7A">
      <w:pPr>
        <w:spacing w:after="171" w:line="270" w:lineRule="auto"/>
        <w:ind w:left="-5"/>
        <w:jc w:val="both"/>
        <w:rPr>
          <w:sz w:val="20"/>
          <w:szCs w:val="14"/>
        </w:rPr>
      </w:pPr>
      <w:r w:rsidRPr="00C81E6F">
        <w:rPr>
          <w:sz w:val="20"/>
          <w:szCs w:val="14"/>
        </w:rPr>
        <w:t xml:space="preserve">Başvuru formları İlçe Kaymakamlığı Milli Emlak Şefliğince, 400 sıra sayılı Milli Emlak Genel Tebliğindeki esaslar çerçevesinde başvuru süresinin bitiminden itibaren en geç beş iş günü içerisinde değerlendirilir. Yapılan değerlendirmede ilan tarihinde geçerli olan mülkiyet ve ikamet durumu dikkate alınır. </w:t>
      </w:r>
    </w:p>
    <w:p w:rsidR="000C2ECD" w:rsidRPr="00C81E6F" w:rsidRDefault="000C2ECD" w:rsidP="00243A7A">
      <w:pPr>
        <w:spacing w:after="171" w:line="270" w:lineRule="auto"/>
        <w:ind w:left="-5"/>
        <w:jc w:val="both"/>
        <w:rPr>
          <w:sz w:val="20"/>
          <w:szCs w:val="14"/>
        </w:rPr>
      </w:pPr>
      <w:r w:rsidRPr="00C81E6F">
        <w:rPr>
          <w:sz w:val="20"/>
          <w:szCs w:val="14"/>
        </w:rPr>
        <w:t xml:space="preserve">Her başvuru için; nüfus kaydı, ikamet, arazi varlığı, medeni durumu ve aile nüfusu bilgileri MERNİS ve TAKBİS'te yer alan bilgiler de kontrol edilmek suretiyle incelenerek başvuru sahibine ilişkin puanlama işlemi yapılır ve puanların eşitliği halinde 400 sıra sayılı Milli Emlak Genel Tebliğinin </w:t>
      </w:r>
      <w:r w:rsidR="00C81E6F">
        <w:rPr>
          <w:sz w:val="20"/>
          <w:szCs w:val="14"/>
        </w:rPr>
        <w:t>Ek-2’deki</w:t>
      </w:r>
      <w:r w:rsidRPr="00C81E6F">
        <w:rPr>
          <w:sz w:val="20"/>
          <w:szCs w:val="14"/>
        </w:rPr>
        <w:t xml:space="preserve"> kriterlerden </w:t>
      </w:r>
      <w:r w:rsidR="00C81E6F">
        <w:rPr>
          <w:sz w:val="20"/>
          <w:szCs w:val="14"/>
        </w:rPr>
        <w:t>‘</w:t>
      </w:r>
      <w:r w:rsidRPr="00C81E6F">
        <w:rPr>
          <w:sz w:val="20"/>
          <w:szCs w:val="14"/>
        </w:rPr>
        <w:t>Arazi Varlığı</w:t>
      </w:r>
      <w:r w:rsidR="00C81E6F">
        <w:rPr>
          <w:sz w:val="20"/>
          <w:szCs w:val="14"/>
        </w:rPr>
        <w:t>’</w:t>
      </w:r>
      <w:r w:rsidRPr="00C81E6F">
        <w:rPr>
          <w:sz w:val="20"/>
          <w:szCs w:val="14"/>
        </w:rPr>
        <w:t xml:space="preserve">na ilişkin puanlama esas alınır. Bu puanların da eşitliği halinde sırasıyla ikamet ve medeni durumu bölümlerindeki puanlar dikkate alınır. Tüm puanlardaki eşitlik halinde kuraya başvurulur. Akabinde Tebliğin </w:t>
      </w:r>
      <w:r w:rsidR="00C81E6F">
        <w:rPr>
          <w:sz w:val="20"/>
          <w:szCs w:val="14"/>
        </w:rPr>
        <w:t>Ek-3’ünde</w:t>
      </w:r>
      <w:r w:rsidRPr="00C81E6F">
        <w:rPr>
          <w:sz w:val="20"/>
          <w:szCs w:val="14"/>
        </w:rPr>
        <w:t xml:space="preserve"> yer alan </w:t>
      </w:r>
      <w:r w:rsidR="00C81E6F">
        <w:rPr>
          <w:sz w:val="20"/>
          <w:szCs w:val="14"/>
        </w:rPr>
        <w:t>‘</w:t>
      </w:r>
      <w:r w:rsidRPr="00C81E6F">
        <w:rPr>
          <w:sz w:val="20"/>
          <w:szCs w:val="14"/>
        </w:rPr>
        <w:t>Başvuru Sıralama Formu</w:t>
      </w:r>
      <w:r w:rsidR="00C81E6F">
        <w:rPr>
          <w:sz w:val="20"/>
          <w:szCs w:val="14"/>
        </w:rPr>
        <w:t>’</w:t>
      </w:r>
      <w:r w:rsidRPr="00C81E6F">
        <w:rPr>
          <w:sz w:val="20"/>
          <w:szCs w:val="14"/>
        </w:rPr>
        <w:t xml:space="preserve"> doldurularak en yüksek puan alandan başlamak üzere başvuru sahipleri sıralanır.                                                                                                                                                                                                                                                            </w:t>
      </w:r>
    </w:p>
    <w:p w:rsidR="00243A7A" w:rsidRDefault="00243A7A" w:rsidP="00243A7A">
      <w:pPr>
        <w:spacing w:after="1"/>
        <w:ind w:left="-5"/>
        <w:jc w:val="both"/>
        <w:rPr>
          <w:sz w:val="20"/>
          <w:szCs w:val="14"/>
        </w:rPr>
      </w:pPr>
      <w:r w:rsidRPr="00243A7A">
        <w:rPr>
          <w:sz w:val="20"/>
          <w:szCs w:val="14"/>
        </w:rPr>
        <w:t>2-</w:t>
      </w:r>
      <w:r>
        <w:rPr>
          <w:color w:val="FF0000"/>
          <w:sz w:val="20"/>
          <w:szCs w:val="14"/>
        </w:rPr>
        <w:t xml:space="preserve"> </w:t>
      </w:r>
      <w:r w:rsidR="000C2ECD" w:rsidRPr="00C81E6F">
        <w:rPr>
          <w:sz w:val="20"/>
          <w:szCs w:val="14"/>
        </w:rPr>
        <w:t>İlan ed</w:t>
      </w:r>
      <w:r w:rsidR="00A66F82" w:rsidRPr="00C81E6F">
        <w:rPr>
          <w:sz w:val="20"/>
          <w:szCs w:val="14"/>
        </w:rPr>
        <w:t>ilen taşınmazın</w:t>
      </w:r>
      <w:r w:rsidR="000C2ECD" w:rsidRPr="00C81E6F">
        <w:rPr>
          <w:sz w:val="20"/>
          <w:szCs w:val="14"/>
        </w:rPr>
        <w:t xml:space="preserve"> hangi başvuru sahibine kiraya verileceği kura usulüyle belirlenir. Başvuru sıralama listesi dikkate alınarak en yüksek puanı alandan başlamak üzere, o </w:t>
      </w:r>
      <w:r w:rsidR="00F1189D" w:rsidRPr="00C81E6F">
        <w:rPr>
          <w:sz w:val="20"/>
          <w:szCs w:val="14"/>
        </w:rPr>
        <w:t>beldede/</w:t>
      </w:r>
      <w:r w:rsidR="000C2ECD" w:rsidRPr="00C81E6F">
        <w:rPr>
          <w:sz w:val="20"/>
          <w:szCs w:val="14"/>
        </w:rPr>
        <w:t xml:space="preserve">mahallede ilan edilen </w:t>
      </w:r>
      <w:r w:rsidR="000C2ECD" w:rsidRPr="00C81E6F">
        <w:rPr>
          <w:sz w:val="20"/>
          <w:szCs w:val="14"/>
        </w:rPr>
        <w:lastRenderedPageBreak/>
        <w:t>taşınmaz/taşınmaz grubu sayısı kadar başvuru sahibi değerlendirme süresinin bitiminden itibaren en geç on</w:t>
      </w:r>
      <w:r w:rsidR="00C81E6F">
        <w:rPr>
          <w:sz w:val="20"/>
          <w:szCs w:val="14"/>
        </w:rPr>
        <w:t xml:space="preserve"> </w:t>
      </w:r>
      <w:r w:rsidR="000C2ECD" w:rsidRPr="00C81E6F">
        <w:rPr>
          <w:sz w:val="20"/>
          <w:szCs w:val="14"/>
        </w:rPr>
        <w:t>beş gün içerisinde kura çekimine davet edilir. İlgili Komisyon tarafından en yüksek puanı alandan başlamak üzere kura çekimi yapılarak taşınmazlara/taşınmaz gruplarına ilişkin hak sahipleri belirlenir. Kura sonucu, tutanak düzenlenerek Komisyon tarafından karara bağlanır ve İta Amirince onaylanır. Başvuru sayısının kiraya verilecek taşınmaz/taşınmaz grubu sayısından daha az olması durumunda, İdarece başvuru sayısı kadar belirlenecek taşınmaz kuraya dahil edilir.</w:t>
      </w:r>
    </w:p>
    <w:p w:rsidR="00620E73" w:rsidRDefault="00620E73" w:rsidP="00243A7A">
      <w:pPr>
        <w:spacing w:after="1"/>
        <w:ind w:left="-5"/>
        <w:jc w:val="both"/>
        <w:rPr>
          <w:sz w:val="20"/>
          <w:szCs w:val="14"/>
        </w:rPr>
      </w:pPr>
    </w:p>
    <w:p w:rsidR="00243A7A" w:rsidRDefault="00243A7A" w:rsidP="00243A7A">
      <w:pPr>
        <w:spacing w:after="171" w:line="270" w:lineRule="auto"/>
        <w:jc w:val="both"/>
        <w:rPr>
          <w:sz w:val="20"/>
          <w:szCs w:val="14"/>
        </w:rPr>
      </w:pPr>
      <w:r>
        <w:rPr>
          <w:sz w:val="20"/>
          <w:szCs w:val="14"/>
        </w:rPr>
        <w:t xml:space="preserve">3- </w:t>
      </w:r>
      <w:r w:rsidR="000C2ECD" w:rsidRPr="00C81E6F">
        <w:rPr>
          <w:sz w:val="20"/>
          <w:szCs w:val="14"/>
        </w:rPr>
        <w:t>Hak sahibi belirlenen taşınmazlar/taşınmaz grupları, 2886 sayılı Devlet İhale Kanununun 51 inci maddesinin 1 inci fıkrasının (g) bendine göre ihale komisyonunca pazarlık usulü ile hak sahiplerine kiraya verilir.</w:t>
      </w:r>
    </w:p>
    <w:p w:rsidR="00243A7A" w:rsidRDefault="00243A7A" w:rsidP="00243A7A">
      <w:pPr>
        <w:spacing w:after="171" w:line="270" w:lineRule="auto"/>
        <w:jc w:val="both"/>
        <w:rPr>
          <w:sz w:val="20"/>
          <w:szCs w:val="14"/>
        </w:rPr>
      </w:pPr>
      <w:r>
        <w:rPr>
          <w:sz w:val="20"/>
          <w:szCs w:val="14"/>
        </w:rPr>
        <w:t xml:space="preserve">4- </w:t>
      </w:r>
      <w:r w:rsidR="000C2ECD" w:rsidRPr="00C81E6F">
        <w:rPr>
          <w:sz w:val="20"/>
          <w:szCs w:val="14"/>
        </w:rPr>
        <w:t>İlk yıl kira bedeli hak sahipliğine ilişkin kararın müşteriye tebliğ tarihinden itibaren on</w:t>
      </w:r>
      <w:r w:rsidR="0076195E">
        <w:rPr>
          <w:sz w:val="20"/>
          <w:szCs w:val="14"/>
        </w:rPr>
        <w:t xml:space="preserve"> </w:t>
      </w:r>
      <w:r w:rsidR="000C2ECD" w:rsidRPr="00C81E6F">
        <w:rPr>
          <w:sz w:val="20"/>
          <w:szCs w:val="14"/>
        </w:rPr>
        <w:t>beş gün içinde peşin olarak veya aynı süre içerisinde faiz uygulanmaksızın dörtte biri peşin, kalanı üçer aylık dönemler halinde üç eşit taksitle, müteakip yıllar kira bedelleri ise, peşin veya üçer aylık dönemler halinde dört eşit taksitle ödenebilir.</w:t>
      </w:r>
    </w:p>
    <w:p w:rsidR="00243A7A" w:rsidRDefault="00243A7A" w:rsidP="00243A7A">
      <w:pPr>
        <w:spacing w:after="171" w:line="270" w:lineRule="auto"/>
        <w:jc w:val="both"/>
        <w:rPr>
          <w:sz w:val="20"/>
          <w:szCs w:val="14"/>
        </w:rPr>
      </w:pPr>
      <w:r>
        <w:rPr>
          <w:sz w:val="20"/>
          <w:szCs w:val="14"/>
        </w:rPr>
        <w:t xml:space="preserve">5- </w:t>
      </w:r>
      <w:r w:rsidR="000C2ECD" w:rsidRPr="00C81E6F">
        <w:rPr>
          <w:sz w:val="20"/>
          <w:szCs w:val="14"/>
        </w:rPr>
        <w:t>Kiraya verme işlemlerinde geçici teminat alınmayacak olup, düzenlenen kira sözleşmelerinin notere tasdiki ve tescili zorunlu değildir.</w:t>
      </w:r>
    </w:p>
    <w:p w:rsidR="00243A7A" w:rsidRDefault="00243A7A" w:rsidP="00243A7A">
      <w:pPr>
        <w:spacing w:after="171" w:line="270" w:lineRule="auto"/>
        <w:jc w:val="both"/>
        <w:rPr>
          <w:sz w:val="20"/>
          <w:szCs w:val="14"/>
        </w:rPr>
      </w:pPr>
      <w:r>
        <w:rPr>
          <w:sz w:val="20"/>
          <w:szCs w:val="14"/>
        </w:rPr>
        <w:t xml:space="preserve">6- </w:t>
      </w:r>
      <w:r w:rsidR="000C2ECD" w:rsidRPr="00C81E6F">
        <w:rPr>
          <w:sz w:val="20"/>
          <w:szCs w:val="14"/>
        </w:rPr>
        <w:t xml:space="preserve">Hak sahibi belirlenmesine ilişkin kura çekimine ve hak sahibi belirlenen taşınmazlara ilişkin ihalelere iştirak edecek hak sahiplerinin, COVİD-19 salgını nedeniyle </w:t>
      </w:r>
      <w:r w:rsidR="000C2ECD" w:rsidRPr="00C81E6F">
        <w:rPr>
          <w:b/>
          <w:sz w:val="20"/>
          <w:szCs w:val="14"/>
        </w:rPr>
        <w:t xml:space="preserve">maske kullanmaları ve sosyal mesafe kurallarına uymaları </w:t>
      </w:r>
      <w:r w:rsidR="000C2ECD" w:rsidRPr="00C81E6F">
        <w:rPr>
          <w:sz w:val="20"/>
          <w:szCs w:val="14"/>
        </w:rPr>
        <w:t>zorunludur.</w:t>
      </w:r>
    </w:p>
    <w:p w:rsidR="00243A7A" w:rsidRDefault="00243A7A" w:rsidP="00243A7A">
      <w:pPr>
        <w:spacing w:after="171" w:line="270" w:lineRule="auto"/>
        <w:jc w:val="both"/>
        <w:rPr>
          <w:sz w:val="20"/>
          <w:szCs w:val="14"/>
        </w:rPr>
      </w:pPr>
      <w:r>
        <w:rPr>
          <w:sz w:val="20"/>
          <w:szCs w:val="14"/>
        </w:rPr>
        <w:t xml:space="preserve">7- </w:t>
      </w:r>
      <w:r w:rsidR="000C2ECD" w:rsidRPr="00C81E6F">
        <w:rPr>
          <w:sz w:val="20"/>
          <w:szCs w:val="14"/>
        </w:rPr>
        <w:t>Haklarında ihaleden yasaklama kararı bulunan hak sahipleri ihalelere katılamayacaklardır. Bu kişiler adına ihale yapılmış olsa bile ihale iptal edilecektir.</w:t>
      </w:r>
    </w:p>
    <w:p w:rsidR="00243A7A" w:rsidRDefault="00243A7A" w:rsidP="00243A7A">
      <w:pPr>
        <w:spacing w:after="171" w:line="270" w:lineRule="auto"/>
        <w:jc w:val="both"/>
        <w:rPr>
          <w:sz w:val="20"/>
          <w:szCs w:val="14"/>
        </w:rPr>
      </w:pPr>
      <w:r>
        <w:rPr>
          <w:sz w:val="20"/>
          <w:szCs w:val="14"/>
        </w:rPr>
        <w:t xml:space="preserve">8- </w:t>
      </w:r>
      <w:r w:rsidR="000C2ECD" w:rsidRPr="00C81E6F">
        <w:rPr>
          <w:sz w:val="20"/>
          <w:szCs w:val="14"/>
        </w:rPr>
        <w:t>Komisyon, gerekçesini kararda belirtmek suretiyle ihaleyi yapıp yapmamakta serbesttir. Komisyonun i</w:t>
      </w:r>
      <w:r>
        <w:rPr>
          <w:sz w:val="20"/>
          <w:szCs w:val="14"/>
        </w:rPr>
        <w:t>haleyi yapmama kararı kesindir.</w:t>
      </w:r>
    </w:p>
    <w:p w:rsidR="00243A7A" w:rsidRDefault="00243A7A" w:rsidP="00243A7A">
      <w:pPr>
        <w:spacing w:after="171" w:line="270" w:lineRule="auto"/>
        <w:jc w:val="both"/>
        <w:rPr>
          <w:sz w:val="20"/>
          <w:szCs w:val="14"/>
        </w:rPr>
      </w:pPr>
      <w:r>
        <w:rPr>
          <w:sz w:val="20"/>
          <w:szCs w:val="14"/>
        </w:rPr>
        <w:t xml:space="preserve">9- </w:t>
      </w:r>
      <w:r w:rsidR="000C2ECD" w:rsidRPr="00C81E6F">
        <w:rPr>
          <w:sz w:val="20"/>
          <w:szCs w:val="14"/>
        </w:rPr>
        <w:t xml:space="preserve">İhalelere ilişkin şartname ve ekleri, mesai saatleri içerisinde taşınmazın bulunduğu </w:t>
      </w:r>
      <w:r w:rsidR="004754CC" w:rsidRPr="00C81E6F">
        <w:rPr>
          <w:sz w:val="20"/>
          <w:szCs w:val="14"/>
        </w:rPr>
        <w:t xml:space="preserve">Babaeski Kaymakamlığı </w:t>
      </w:r>
      <w:r w:rsidR="000C2ECD" w:rsidRPr="00C81E6F">
        <w:rPr>
          <w:sz w:val="20"/>
          <w:szCs w:val="14"/>
        </w:rPr>
        <w:t>Milli Emlak Şefliğinde görülebilir ve ücretsiz olarak alınabilir.</w:t>
      </w:r>
    </w:p>
    <w:p w:rsidR="005E096E" w:rsidRDefault="00243A7A" w:rsidP="00243A7A">
      <w:pPr>
        <w:spacing w:after="171" w:line="270" w:lineRule="auto"/>
        <w:jc w:val="both"/>
        <w:rPr>
          <w:sz w:val="20"/>
          <w:szCs w:val="14"/>
        </w:rPr>
      </w:pPr>
      <w:r>
        <w:rPr>
          <w:sz w:val="20"/>
          <w:szCs w:val="14"/>
        </w:rPr>
        <w:t xml:space="preserve">10- </w:t>
      </w:r>
      <w:r w:rsidR="000C2ECD" w:rsidRPr="00C81E6F">
        <w:rPr>
          <w:sz w:val="20"/>
          <w:szCs w:val="14"/>
        </w:rPr>
        <w:t xml:space="preserve">Bu ilana </w:t>
      </w:r>
      <w:r w:rsidR="00766F37" w:rsidRPr="00C81E6F">
        <w:rPr>
          <w:sz w:val="20"/>
          <w:szCs w:val="14"/>
        </w:rPr>
        <w:t>www.</w:t>
      </w:r>
      <w:r w:rsidR="00CE6E7F" w:rsidRPr="00C81E6F">
        <w:rPr>
          <w:sz w:val="20"/>
          <w:szCs w:val="14"/>
        </w:rPr>
        <w:t>kirklareli</w:t>
      </w:r>
      <w:r w:rsidR="000C2ECD" w:rsidRPr="00C81E6F">
        <w:rPr>
          <w:sz w:val="20"/>
          <w:szCs w:val="14"/>
        </w:rPr>
        <w:t xml:space="preserve">.csb.gov.tr </w:t>
      </w:r>
      <w:r w:rsidR="00EC1C51" w:rsidRPr="00C81E6F">
        <w:rPr>
          <w:sz w:val="20"/>
          <w:szCs w:val="14"/>
        </w:rPr>
        <w:t xml:space="preserve">ve </w:t>
      </w:r>
      <w:r w:rsidR="00EC1C51" w:rsidRPr="00C81E6F">
        <w:rPr>
          <w:rFonts w:eastAsia="Times New Roman" w:cstheme="minorHAnsi"/>
          <w:sz w:val="20"/>
          <w:szCs w:val="14"/>
          <w:lang w:eastAsia="tr-TR"/>
        </w:rPr>
        <w:t>www.babaeski.gov.tr</w:t>
      </w:r>
      <w:r w:rsidR="00EC1C51" w:rsidRPr="00C81E6F">
        <w:rPr>
          <w:rFonts w:ascii="Times New Roman" w:eastAsia="Times New Roman" w:hAnsi="Times New Roman" w:cs="Times New Roman"/>
          <w:sz w:val="28"/>
          <w:szCs w:val="20"/>
          <w:lang w:eastAsia="tr-TR"/>
        </w:rPr>
        <w:t xml:space="preserve"> </w:t>
      </w:r>
      <w:r w:rsidR="000C2ECD" w:rsidRPr="00C81E6F">
        <w:rPr>
          <w:sz w:val="20"/>
          <w:szCs w:val="14"/>
        </w:rPr>
        <w:t>adresinden ulaşılabilecektir.</w:t>
      </w:r>
      <w:r w:rsidR="0076195E">
        <w:rPr>
          <w:sz w:val="20"/>
          <w:szCs w:val="14"/>
        </w:rPr>
        <w:t xml:space="preserve"> </w:t>
      </w:r>
    </w:p>
    <w:p w:rsidR="000C2ECD" w:rsidRPr="0076195E" w:rsidRDefault="000C2ECD" w:rsidP="00243A7A">
      <w:pPr>
        <w:spacing w:after="171" w:line="270" w:lineRule="auto"/>
        <w:jc w:val="both"/>
        <w:rPr>
          <w:sz w:val="20"/>
          <w:szCs w:val="14"/>
        </w:rPr>
      </w:pPr>
      <w:r w:rsidRPr="0076195E">
        <w:rPr>
          <w:b/>
          <w:sz w:val="20"/>
          <w:szCs w:val="14"/>
        </w:rPr>
        <w:t>İrtibat Tel</w:t>
      </w:r>
      <w:r w:rsidRPr="0076195E">
        <w:rPr>
          <w:sz w:val="20"/>
          <w:szCs w:val="14"/>
        </w:rPr>
        <w:t>: (</w:t>
      </w:r>
      <w:r w:rsidR="00CE6E7F" w:rsidRPr="0076195E">
        <w:rPr>
          <w:sz w:val="20"/>
          <w:szCs w:val="14"/>
        </w:rPr>
        <w:t>0288) 512 49 81</w:t>
      </w:r>
    </w:p>
    <w:sectPr w:rsidR="000C2ECD" w:rsidRPr="0076195E" w:rsidSect="00151071">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F9" w:rsidRDefault="00A614F9" w:rsidP="00151071">
      <w:pPr>
        <w:spacing w:after="0" w:line="240" w:lineRule="auto"/>
      </w:pPr>
      <w:r>
        <w:separator/>
      </w:r>
    </w:p>
  </w:endnote>
  <w:endnote w:type="continuationSeparator" w:id="0">
    <w:p w:rsidR="00A614F9" w:rsidRDefault="00A614F9" w:rsidP="001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F9" w:rsidRDefault="00A614F9" w:rsidP="00151071">
      <w:pPr>
        <w:spacing w:after="0" w:line="240" w:lineRule="auto"/>
      </w:pPr>
      <w:r>
        <w:separator/>
      </w:r>
    </w:p>
  </w:footnote>
  <w:footnote w:type="continuationSeparator" w:id="0">
    <w:p w:rsidR="00A614F9" w:rsidRDefault="00A614F9" w:rsidP="0015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71" w:rsidRDefault="00151071" w:rsidP="00151071">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4839"/>
    <w:multiLevelType w:val="hybridMultilevel"/>
    <w:tmpl w:val="D13EF150"/>
    <w:lvl w:ilvl="0" w:tplc="402066B8">
      <w:start w:val="1"/>
      <w:numFmt w:val="lowerLetter"/>
      <w:lvlText w:val="%1)"/>
      <w:lvlJc w:val="left"/>
      <w:pPr>
        <w:ind w:left="1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01C122E">
      <w:start w:val="1"/>
      <w:numFmt w:val="lowerLetter"/>
      <w:lvlText w:val="%2"/>
      <w:lvlJc w:val="left"/>
      <w:pPr>
        <w:ind w:left="10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3A0FE80">
      <w:start w:val="1"/>
      <w:numFmt w:val="lowerRoman"/>
      <w:lvlText w:val="%3"/>
      <w:lvlJc w:val="left"/>
      <w:pPr>
        <w:ind w:left="179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28EDE3C">
      <w:start w:val="1"/>
      <w:numFmt w:val="decimal"/>
      <w:lvlText w:val="%4"/>
      <w:lvlJc w:val="left"/>
      <w:pPr>
        <w:ind w:left="251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2A88BB2">
      <w:start w:val="1"/>
      <w:numFmt w:val="lowerLetter"/>
      <w:lvlText w:val="%5"/>
      <w:lvlJc w:val="left"/>
      <w:pPr>
        <w:ind w:left="323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D6E20A6">
      <w:start w:val="1"/>
      <w:numFmt w:val="lowerRoman"/>
      <w:lvlText w:val="%6"/>
      <w:lvlJc w:val="left"/>
      <w:pPr>
        <w:ind w:left="395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8827590">
      <w:start w:val="1"/>
      <w:numFmt w:val="decimal"/>
      <w:lvlText w:val="%7"/>
      <w:lvlJc w:val="left"/>
      <w:pPr>
        <w:ind w:left="46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F644050">
      <w:start w:val="1"/>
      <w:numFmt w:val="lowerLetter"/>
      <w:lvlText w:val="%8"/>
      <w:lvlJc w:val="left"/>
      <w:pPr>
        <w:ind w:left="539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9248B60">
      <w:start w:val="1"/>
      <w:numFmt w:val="lowerRoman"/>
      <w:lvlText w:val="%9"/>
      <w:lvlJc w:val="left"/>
      <w:pPr>
        <w:ind w:left="611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
    <w:nsid w:val="2E8909EF"/>
    <w:multiLevelType w:val="hybridMultilevel"/>
    <w:tmpl w:val="789EAE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B95095"/>
    <w:multiLevelType w:val="hybridMultilevel"/>
    <w:tmpl w:val="683C6198"/>
    <w:lvl w:ilvl="0" w:tplc="7E561342">
      <w:start w:val="2"/>
      <w:numFmt w:val="decimal"/>
      <w:lvlText w:val="%1-"/>
      <w:lvlJc w:val="left"/>
      <w:pPr>
        <w:ind w:left="22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48681224">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FA4DBA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D6CD064">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2BCDDD0">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55A409A">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B08525C">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E9309D8C">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E60855C">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
    <w:nsid w:val="63200FBC"/>
    <w:multiLevelType w:val="hybridMultilevel"/>
    <w:tmpl w:val="BBCACB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3F"/>
    <w:rsid w:val="00012E2D"/>
    <w:rsid w:val="00023B99"/>
    <w:rsid w:val="0006016A"/>
    <w:rsid w:val="00061A5E"/>
    <w:rsid w:val="000C2ECD"/>
    <w:rsid w:val="000D6A00"/>
    <w:rsid w:val="00113E63"/>
    <w:rsid w:val="00151071"/>
    <w:rsid w:val="001D1283"/>
    <w:rsid w:val="001D514F"/>
    <w:rsid w:val="001F4268"/>
    <w:rsid w:val="002245D7"/>
    <w:rsid w:val="00243A7A"/>
    <w:rsid w:val="002767E2"/>
    <w:rsid w:val="00287D1C"/>
    <w:rsid w:val="002F1A0E"/>
    <w:rsid w:val="002F7BC0"/>
    <w:rsid w:val="00316C9C"/>
    <w:rsid w:val="00372930"/>
    <w:rsid w:val="00443C5A"/>
    <w:rsid w:val="004754CC"/>
    <w:rsid w:val="00496DBF"/>
    <w:rsid w:val="004E22AC"/>
    <w:rsid w:val="004E3AA1"/>
    <w:rsid w:val="00561AAA"/>
    <w:rsid w:val="00586B07"/>
    <w:rsid w:val="00587C7E"/>
    <w:rsid w:val="005B6583"/>
    <w:rsid w:val="005E096E"/>
    <w:rsid w:val="00614332"/>
    <w:rsid w:val="00620E73"/>
    <w:rsid w:val="00694AA7"/>
    <w:rsid w:val="0076195E"/>
    <w:rsid w:val="00766F37"/>
    <w:rsid w:val="007B7875"/>
    <w:rsid w:val="008E1415"/>
    <w:rsid w:val="00960F5F"/>
    <w:rsid w:val="00976C27"/>
    <w:rsid w:val="009E3DB7"/>
    <w:rsid w:val="00A614F9"/>
    <w:rsid w:val="00A66F82"/>
    <w:rsid w:val="00AA0BD4"/>
    <w:rsid w:val="00AD633F"/>
    <w:rsid w:val="00B174AB"/>
    <w:rsid w:val="00B2613D"/>
    <w:rsid w:val="00BE415D"/>
    <w:rsid w:val="00BF72EB"/>
    <w:rsid w:val="00C81E6F"/>
    <w:rsid w:val="00CA0C9B"/>
    <w:rsid w:val="00CD7BD8"/>
    <w:rsid w:val="00CE6E7F"/>
    <w:rsid w:val="00DF3A6F"/>
    <w:rsid w:val="00E2431C"/>
    <w:rsid w:val="00E97D22"/>
    <w:rsid w:val="00EB69F0"/>
    <w:rsid w:val="00EC1C51"/>
    <w:rsid w:val="00F1089E"/>
    <w:rsid w:val="00F1189D"/>
    <w:rsid w:val="00FC1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B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10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071"/>
  </w:style>
  <w:style w:type="paragraph" w:styleId="Altbilgi">
    <w:name w:val="footer"/>
    <w:basedOn w:val="Normal"/>
    <w:link w:val="AltbilgiChar"/>
    <w:uiPriority w:val="99"/>
    <w:unhideWhenUsed/>
    <w:rsid w:val="001510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071"/>
  </w:style>
  <w:style w:type="paragraph" w:styleId="BalonMetni">
    <w:name w:val="Balloon Text"/>
    <w:basedOn w:val="Normal"/>
    <w:link w:val="BalonMetniChar"/>
    <w:uiPriority w:val="99"/>
    <w:semiHidden/>
    <w:unhideWhenUsed/>
    <w:rsid w:val="00316C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6C9C"/>
    <w:rPr>
      <w:rFonts w:ascii="Segoe UI" w:hAnsi="Segoe UI" w:cs="Segoe UI"/>
      <w:sz w:val="18"/>
      <w:szCs w:val="18"/>
    </w:rPr>
  </w:style>
  <w:style w:type="paragraph" w:styleId="ListeParagraf">
    <w:name w:val="List Paragraph"/>
    <w:basedOn w:val="Normal"/>
    <w:uiPriority w:val="34"/>
    <w:qFormat/>
    <w:rsid w:val="00C81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B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10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071"/>
  </w:style>
  <w:style w:type="paragraph" w:styleId="Altbilgi">
    <w:name w:val="footer"/>
    <w:basedOn w:val="Normal"/>
    <w:link w:val="AltbilgiChar"/>
    <w:uiPriority w:val="99"/>
    <w:unhideWhenUsed/>
    <w:rsid w:val="001510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071"/>
  </w:style>
  <w:style w:type="paragraph" w:styleId="BalonMetni">
    <w:name w:val="Balloon Text"/>
    <w:basedOn w:val="Normal"/>
    <w:link w:val="BalonMetniChar"/>
    <w:uiPriority w:val="99"/>
    <w:semiHidden/>
    <w:unhideWhenUsed/>
    <w:rsid w:val="00316C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6C9C"/>
    <w:rPr>
      <w:rFonts w:ascii="Segoe UI" w:hAnsi="Segoe UI" w:cs="Segoe UI"/>
      <w:sz w:val="18"/>
      <w:szCs w:val="18"/>
    </w:rPr>
  </w:style>
  <w:style w:type="paragraph" w:styleId="ListeParagraf">
    <w:name w:val="List Paragraph"/>
    <w:basedOn w:val="Normal"/>
    <w:uiPriority w:val="34"/>
    <w:qFormat/>
    <w:rsid w:val="00C81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4859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KOZUK</dc:creator>
  <cp:lastModifiedBy>buro_pc</cp:lastModifiedBy>
  <cp:revision>2</cp:revision>
  <cp:lastPrinted>2021-07-14T15:05:00Z</cp:lastPrinted>
  <dcterms:created xsi:type="dcterms:W3CDTF">2021-07-16T13:32:00Z</dcterms:created>
  <dcterms:modified xsi:type="dcterms:W3CDTF">2021-07-16T13:32:00Z</dcterms:modified>
</cp:coreProperties>
</file>